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9" w:rsidRPr="00550B7B" w:rsidRDefault="00B90E89" w:rsidP="00B90E89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adaptált jó gyakorlat-jellegű tevékenység bemutatása</w:t>
      </w:r>
    </w:p>
    <w:p w:rsidR="00B90E89" w:rsidRPr="00550B7B" w:rsidRDefault="00B90E89" w:rsidP="00B90E89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50B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Felkészülés a kompetencia alapú érettségi vizsgára</w:t>
      </w:r>
    </w:p>
    <w:p w:rsidR="00B90E89" w:rsidRPr="00550B7B" w:rsidRDefault="00B90E89" w:rsidP="00B90E89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0E89" w:rsidRPr="00550B7B" w:rsidRDefault="00B90E89" w:rsidP="00B90E8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Napjainkban egyre inkább közhasználatúvá válik a '</w:t>
      </w:r>
      <w:proofErr w:type="spellStart"/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kompetencia'-fogalom</w:t>
      </w:r>
      <w:proofErr w:type="spellEnd"/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Sokan foglalkoznak a szó definiálásával, több oldalról is megközelítik a jelenséget. Véleményem szerint a fogalom a jelen kontextusban a 'valamire való alkalmasság' jelentésrétegével függ össze. A "jó gyakorlat" célja tehát az, hogy a tanulókat felkészítse, alkalmassá tegye az érettségi vizsgára, ahol lehetőségük nyílik a megszerzett tudásukról komplex módon számot adni. Fontos, hogy a diákok az érettségi vizsgát egy olyan állomásnak tekintsék a tanulmányaik folyamán, ahol rendszerezhetik a megszerzett ismereteiket, s később mindezekhez kapcsolódva egyéb tudáselemeket legyenek képesek majd hozzárendelni. </w:t>
      </w:r>
      <w:proofErr w:type="gramStart"/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Fontos továbbá, hogy ne csupán a tárgyi tudás visszaadását tartsák szem előtt a vizsgázók, hanem olyan módszereket sajátítsanak el a vizsgára való felkészülés során, amelyek a későbbi tanulmányaik alkalmával is segítségükre lehetnek.</w:t>
      </w:r>
      <w:r w:rsidRPr="00550B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50B7B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"jó gyakorlat" célja továbbá az, hogy eloszlassa azt a kételyt, miszerint a kompetencia alapú oktatás nem képes megfelelően felkészíteni a diákokat az érettségi vizsgára, hiszen ezzel ellentétben számos eredmény igazolta a program hatékonyságát, életképességét.</w:t>
      </w:r>
      <w:proofErr w:type="gramEnd"/>
    </w:p>
    <w:p w:rsidR="00B90E89" w:rsidRPr="00550B7B" w:rsidRDefault="00B90E89" w:rsidP="00B90E8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érettségi vizsga a diák és a tanár számára egyaránt nagy felelősség, s egyre nagyobb tétje mutatkozik a továbbtanulást illetően. Sokan úgy vélik, hogy a tananyagközpontú tudás megszerzése az egyedüli hatékony módja annak, hogy jó eredmények szülessenek a végső megmérettetésen. A kompetencia alapú oktatás egyik fontos célja, hogy tanulóközpontú eljárásokat alkalmazzon, s ennek megfelelően az életkori sajátosságokat figyelembe véve igyekezzen felkészíteni a tanulókat az érettségire. A tanulóközpontú oktatásra való áttérést segítette egyrészt a kooperatív technikák beépítése a mindennapi gyakorlatba: fürtábra, kettéosztott napló, T-táblázat, pókhálóábra, jellemtérkép, kreatív írás, másrészt a változatos munkaformák alkalmat teremtettek a diákok aktív részt vételére a tanórán: páros munka, csoportmunka, egyénre szabott munka. Fontos, hogy az érettségi vizsga tükrözze az elmúlt évek pedagógiai gyakorlatát, engedjen teret a tanulók 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kreativitásának, biztosítsa az önértékelő képesség kialakítását. A kompetencia alapú érettségi nem jelent egyet a lexikális tudáselemek elhagyásával, hanem annak rendszerbe foglalásáról, a tantárgyak közti átjárhatóságról kell szólnia. Az írásbeli érettségi vizsga típusfeladatait figyelembe véve jól látható, hogy csupán lexikális tudással kevésbé érhető el jó eredmény, a tudás alkalmazásának képességét kell, hogy kialakítsuk a diákokban. A szóbeli vizsga tételei szorosan kapcsolódnak az elmúlt évek tematikájához, a feladatok pedig a kompetencia alapú tudást mérik fel.</w:t>
      </w:r>
    </w:p>
    <w:p w:rsidR="00B90E89" w:rsidRPr="00550B7B" w:rsidRDefault="00B90E89" w:rsidP="00B90E8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tevékenységek számos területen fejtik ki fejlesztő hatásukat. A k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ulcskompetenciák terén: anyanyelvi kompetencia</w:t>
      </w:r>
      <w:r>
        <w:rPr>
          <w:rFonts w:ascii="Times New Roman" w:hAnsi="Times New Roman" w:cs="Times New Roman"/>
          <w:color w:val="333333"/>
          <w:sz w:val="24"/>
          <w:szCs w:val="24"/>
        </w:rPr>
        <w:t>, e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szközjellegű kompetenciák körében: szövegértés-szövegalkotás</w:t>
      </w:r>
      <w:r>
        <w:rPr>
          <w:rFonts w:ascii="Times New Roman" w:hAnsi="Times New Roman" w:cs="Times New Roman"/>
          <w:color w:val="333333"/>
          <w:sz w:val="24"/>
          <w:szCs w:val="24"/>
        </w:rPr>
        <w:t>, á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ltalános kompetenciákat tekintve: kreativitás, kapcsolatépítés, együttműködő képesség, konfliktuskezelés, problémamegoldó képesség, kommunikáció, logikai gondolkodás</w:t>
      </w:r>
      <w:r>
        <w:rPr>
          <w:rFonts w:ascii="Times New Roman" w:hAnsi="Times New Roman" w:cs="Times New Roman"/>
          <w:color w:val="333333"/>
          <w:sz w:val="24"/>
          <w:szCs w:val="24"/>
        </w:rPr>
        <w:t>, e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gyén szintjén lévő kompetenciák terén:</w:t>
      </w:r>
      <w:r w:rsidRPr="00550B7B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ismeretek, tudás elsajátítása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készségek, képességek kialakítása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személyiségvonások fejlesztése, korrigálása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motiváció felkeltése, megtartása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90E89" w:rsidRPr="00550B7B" w:rsidRDefault="00B90E89" w:rsidP="00B90E8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érettségire történő felkészülés nem csupán órai feladatokban, hanem otthoni kutatómunka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nonformális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tanulás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során is megjelenik, s így a szülők az évek során figyelemmel kísérhetik gyermekük tudásának elmélyülését, képet kaphatnak a vele szemben támasztott követelményekről. Az iskolában nyílt nap keretében szintén lehetőségük van megfigyelni a hozzátartozóknak gyermekük csoportban történő hatékony együttműködését, a képességeik fejlődését.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 egyéb intézményekkel kapcsolatosan kialakított együttműködési megállapodások segítik a tanuló széles látókörének kialakítását.</w:t>
      </w:r>
    </w:p>
    <w:p w:rsidR="00B90E89" w:rsidRPr="00550B7B" w:rsidRDefault="00B90E89" w:rsidP="00B90E8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adaptáció pedagógiai haszna abban rejlik, hogy a kimeneti követelmények ne gerjesszenek félelmet a pedagógusokban és a diákokban egyaránt. Az éveken át következetesen alkalmazott kooperatív módszerek hatékonysága immár eredményekkel bizonyított: az országos kompetenciamérés eredményeit figyelemmel kísérve megállapítottuk, hogy diákjaink eredményesebbek voltak a korábbi évek mérési eredményeihez képest, az érettségi vizsgán többen képességeikhez képest is meglehetősen jól teljesítettek, az órán érzékelhető klíma sokkal oldottabb, 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feszültség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mentesebbnek</w:t>
      </w:r>
      <w:proofErr w:type="gramEnd"/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bizonyult, figyelemmel kísérték a pályázati kiírásokat, amelyek felkeltették az érdeklődésüket. A "jó gyakorlat" mindazon technikák bemut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atására törekszik, hogy a félel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 eloszlassa, hatékony, eredményes vizsgára készítse fel a tanulókat.</w:t>
      </w:r>
    </w:p>
    <w:p w:rsidR="00B90E89" w:rsidRPr="00550B7B" w:rsidRDefault="00B90E89" w:rsidP="00B90E8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jó gyakorlat 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sikerességéhez nagymértékben szükséges a pedagógusok részéről a nyitottság az új módszerek adaptációját tekintve, a diákok oldaláról pedig az órákon való aktív részt vétel. Fontos, hogy a módszertani megújulásban (kooperatív technikák, változatos munkaformák alkalmazása) a pedagógusok lehetőségeket lássanak, amelyeket következetesen beépítenek a mindennapi gyakorlatukba. Úgy vélem, a hatékony együttműködés képes arra, hogy a tanulók megfelelő tudással rendelkezve tegyenek érettségi vizsgát, amelyet iskolánk tanulói igazolnak. A tanulócsoportok szervezése nem különbözik a hagyományos csoportszervezéstől.</w:t>
      </w:r>
      <w:r w:rsidRPr="00550B7B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550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érettségire való felkészülés során térségi jellemzőket is figyelembe vehetünk a szóbeli tételek kijelölése kapcsán, amely erősíti a gyermekek identitását. Mindez alkalmat adhat a diákoknak arra, hogy megismerjék lakóhelyük, környezetük értékeit. Az azonban kétségtelen, hogy jelentős részben az országos követelményekhez kell igazítani a felkészülés módját, az abban szereplő tudáselemeket.</w:t>
      </w:r>
    </w:p>
    <w:p w:rsidR="005A39A1" w:rsidRPr="000F2C32" w:rsidRDefault="005A39A1" w:rsidP="000F2C32"/>
    <w:sectPr w:rsidR="005A39A1" w:rsidRPr="000F2C32" w:rsidSect="00C82E7C">
      <w:headerReference w:type="default" r:id="rId8"/>
      <w:footerReference w:type="default" r:id="rId9"/>
      <w:pgSz w:w="11906" w:h="16838" w:code="9"/>
      <w:pgMar w:top="2801" w:right="1134" w:bottom="1134" w:left="1134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0" w:rsidRDefault="00754880" w:rsidP="00AB4900">
      <w:pPr>
        <w:spacing w:after="0" w:line="240" w:lineRule="auto"/>
      </w:pPr>
      <w:r>
        <w:separator/>
      </w:r>
    </w:p>
  </w:endnote>
  <w:end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Default="00C06165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83820</wp:posOffset>
          </wp:positionV>
          <wp:extent cx="678815" cy="800100"/>
          <wp:effectExtent l="1905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>
      <w:rPr>
        <w:b/>
        <w:bCs/>
        <w:caps/>
        <w:color w:val="003399"/>
        <w:sz w:val="16"/>
        <w:szCs w:val="16"/>
      </w:rPr>
      <w:t>Tokaji Ferenc Gimnázium,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 xml:space="preserve">Szakközépiskola </w:t>
    </w:r>
    <w:proofErr w:type="gramStart"/>
    <w:r w:rsidRPr="003527E3">
      <w:rPr>
        <w:b/>
        <w:bCs/>
        <w:caps/>
        <w:color w:val="003399"/>
        <w:sz w:val="16"/>
        <w:szCs w:val="16"/>
      </w:rPr>
      <w:t>és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Kollégium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3910, Tokaj, Bajcsy-Zs. E. u. 18-20.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Tel</w:t>
    </w:r>
    <w:proofErr w:type="gramStart"/>
    <w:r w:rsidRPr="003527E3">
      <w:rPr>
        <w:b/>
        <w:bCs/>
        <w:caps/>
        <w:color w:val="003399"/>
        <w:sz w:val="16"/>
        <w:szCs w:val="16"/>
      </w:rPr>
      <w:t>.: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+36 47 352-026, +36 47 </w:t>
    </w:r>
  </w:p>
  <w:p w:rsidR="005A39A1" w:rsidRPr="00C82E7C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C82E7C">
      <w:rPr>
        <w:b/>
        <w:bCs/>
        <w:caps/>
        <w:color w:val="003399"/>
        <w:sz w:val="16"/>
        <w:szCs w:val="16"/>
      </w:rPr>
      <w:t>e-mail: tfg@tfg.hu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0" w:rsidRDefault="00754880" w:rsidP="00AB4900">
      <w:pPr>
        <w:spacing w:after="0" w:line="240" w:lineRule="auto"/>
      </w:pPr>
      <w:r>
        <w:separator/>
      </w:r>
    </w:p>
  </w:footnote>
  <w:foot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Pr="00C82E7C" w:rsidRDefault="00C06165" w:rsidP="00C14B7A">
    <w:pPr>
      <w:pStyle w:val="lfej"/>
      <w:ind w:right="4251"/>
      <w:rPr>
        <w:color w:val="00008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4311015</wp:posOffset>
          </wp:positionH>
          <wp:positionV relativeFrom="page">
            <wp:posOffset>9525</wp:posOffset>
          </wp:positionV>
          <wp:extent cx="3239770" cy="2239010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 w:rsidRPr="00C82E7C">
      <w:rPr>
        <w:b/>
        <w:bCs/>
        <w:color w:val="000080"/>
      </w:rPr>
      <w:t>TÁMOP-3.1.4-12/2-2012-0236</w:t>
    </w:r>
    <w:r w:rsidR="005A39A1" w:rsidRPr="00C82E7C">
      <w:rPr>
        <w:color w:val="000080"/>
      </w:rPr>
      <w:tab/>
    </w:r>
    <w:r w:rsidR="005A39A1" w:rsidRPr="00C82E7C">
      <w:rPr>
        <w:color w:val="000080"/>
      </w:rPr>
      <w:tab/>
    </w:r>
  </w:p>
  <w:p w:rsidR="005A39A1" w:rsidRPr="00C82E7C" w:rsidRDefault="005A39A1" w:rsidP="00C14B7A">
    <w:pPr>
      <w:pStyle w:val="lfej"/>
      <w:ind w:right="4251"/>
      <w:rPr>
        <w:color w:val="000080"/>
      </w:rPr>
    </w:pPr>
    <w:r w:rsidRPr="00C82E7C">
      <w:rPr>
        <w:color w:val="000080"/>
      </w:rPr>
      <w:t>“Innovatív iskolafejlesztés a Tokaji Ferenc Gimnázium, Szakközépiskola és Kollégiumában”</w:t>
    </w:r>
  </w:p>
  <w:p w:rsidR="005A39A1" w:rsidRPr="00C82E7C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C82E7C">
    <w:pPr>
      <w:pStyle w:val="lfej"/>
    </w:pPr>
  </w:p>
  <w:p w:rsidR="005A39A1" w:rsidRDefault="005A39A1" w:rsidP="00C82E7C">
    <w:pPr>
      <w:pStyle w:val="lfej"/>
    </w:pPr>
  </w:p>
  <w:p w:rsidR="005A39A1" w:rsidRPr="00AB4900" w:rsidRDefault="005A39A1" w:rsidP="00C82E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BD"/>
    <w:multiLevelType w:val="hybridMultilevel"/>
    <w:tmpl w:val="784676D0"/>
    <w:lvl w:ilvl="0" w:tplc="0A8AC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66F31"/>
    <w:multiLevelType w:val="hybridMultilevel"/>
    <w:tmpl w:val="7D62A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6183"/>
    <w:multiLevelType w:val="hybridMultilevel"/>
    <w:tmpl w:val="583C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22E7"/>
    <w:rsid w:val="00045F17"/>
    <w:rsid w:val="00081A6B"/>
    <w:rsid w:val="000B2CD5"/>
    <w:rsid w:val="000F2C32"/>
    <w:rsid w:val="000F4E96"/>
    <w:rsid w:val="00111913"/>
    <w:rsid w:val="00131BD8"/>
    <w:rsid w:val="00146ACE"/>
    <w:rsid w:val="001E6A2A"/>
    <w:rsid w:val="002112C7"/>
    <w:rsid w:val="0021557B"/>
    <w:rsid w:val="00232166"/>
    <w:rsid w:val="002441AB"/>
    <w:rsid w:val="00244F73"/>
    <w:rsid w:val="002456AB"/>
    <w:rsid w:val="002A6DE9"/>
    <w:rsid w:val="002D426F"/>
    <w:rsid w:val="002E64F7"/>
    <w:rsid w:val="002F678C"/>
    <w:rsid w:val="00316890"/>
    <w:rsid w:val="00337443"/>
    <w:rsid w:val="00344C67"/>
    <w:rsid w:val="003527E3"/>
    <w:rsid w:val="00353E8C"/>
    <w:rsid w:val="00392B1A"/>
    <w:rsid w:val="003955A3"/>
    <w:rsid w:val="003C3464"/>
    <w:rsid w:val="003D5F77"/>
    <w:rsid w:val="00407FFE"/>
    <w:rsid w:val="004370CA"/>
    <w:rsid w:val="004C625A"/>
    <w:rsid w:val="00522599"/>
    <w:rsid w:val="00580705"/>
    <w:rsid w:val="005901CF"/>
    <w:rsid w:val="005A39A1"/>
    <w:rsid w:val="005D030D"/>
    <w:rsid w:val="005D15D1"/>
    <w:rsid w:val="005E2EDE"/>
    <w:rsid w:val="0066109B"/>
    <w:rsid w:val="006610E7"/>
    <w:rsid w:val="006734FC"/>
    <w:rsid w:val="0069136C"/>
    <w:rsid w:val="006A1E4D"/>
    <w:rsid w:val="006B0482"/>
    <w:rsid w:val="006C0217"/>
    <w:rsid w:val="006C7DCA"/>
    <w:rsid w:val="006D0ADF"/>
    <w:rsid w:val="00754880"/>
    <w:rsid w:val="0076698F"/>
    <w:rsid w:val="0078269C"/>
    <w:rsid w:val="007A0001"/>
    <w:rsid w:val="007A6928"/>
    <w:rsid w:val="00802813"/>
    <w:rsid w:val="00816521"/>
    <w:rsid w:val="00876ECC"/>
    <w:rsid w:val="008B5441"/>
    <w:rsid w:val="008C013B"/>
    <w:rsid w:val="009039F9"/>
    <w:rsid w:val="00922FBD"/>
    <w:rsid w:val="009B38F5"/>
    <w:rsid w:val="009C486D"/>
    <w:rsid w:val="009D2C62"/>
    <w:rsid w:val="009E5E87"/>
    <w:rsid w:val="00A06EA7"/>
    <w:rsid w:val="00A07689"/>
    <w:rsid w:val="00A422D2"/>
    <w:rsid w:val="00A46013"/>
    <w:rsid w:val="00A54B1C"/>
    <w:rsid w:val="00A63A25"/>
    <w:rsid w:val="00AB4900"/>
    <w:rsid w:val="00AC5B21"/>
    <w:rsid w:val="00AE2160"/>
    <w:rsid w:val="00B0435E"/>
    <w:rsid w:val="00B44BFA"/>
    <w:rsid w:val="00B4605F"/>
    <w:rsid w:val="00B50ED9"/>
    <w:rsid w:val="00B90E89"/>
    <w:rsid w:val="00BC63BE"/>
    <w:rsid w:val="00C06165"/>
    <w:rsid w:val="00C14B7A"/>
    <w:rsid w:val="00C573C0"/>
    <w:rsid w:val="00C74CCE"/>
    <w:rsid w:val="00C82E7C"/>
    <w:rsid w:val="00C873CF"/>
    <w:rsid w:val="00C87FFB"/>
    <w:rsid w:val="00C9125A"/>
    <w:rsid w:val="00C9496E"/>
    <w:rsid w:val="00CB133A"/>
    <w:rsid w:val="00CC0E55"/>
    <w:rsid w:val="00CC27D4"/>
    <w:rsid w:val="00CE50AD"/>
    <w:rsid w:val="00CF1CDA"/>
    <w:rsid w:val="00D15E97"/>
    <w:rsid w:val="00D32023"/>
    <w:rsid w:val="00D42BAB"/>
    <w:rsid w:val="00D50544"/>
    <w:rsid w:val="00D56605"/>
    <w:rsid w:val="00D609B1"/>
    <w:rsid w:val="00D83D60"/>
    <w:rsid w:val="00DC0ECD"/>
    <w:rsid w:val="00DE0E15"/>
    <w:rsid w:val="00DE5336"/>
    <w:rsid w:val="00E61A0D"/>
    <w:rsid w:val="00E730C6"/>
    <w:rsid w:val="00E75AFC"/>
    <w:rsid w:val="00E81ACD"/>
    <w:rsid w:val="00E824DA"/>
    <w:rsid w:val="00EA2F16"/>
    <w:rsid w:val="00F02C48"/>
    <w:rsid w:val="00F22288"/>
    <w:rsid w:val="00F24251"/>
    <w:rsid w:val="00F319BF"/>
    <w:rsid w:val="00F7138D"/>
    <w:rsid w:val="00FA0C90"/>
    <w:rsid w:val="00FD397A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482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table" w:styleId="Rcsostblzat">
    <w:name w:val="Table Grid"/>
    <w:basedOn w:val="Normltblzat"/>
    <w:uiPriority w:val="99"/>
    <w:rsid w:val="003C3464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orszma">
    <w:name w:val="line number"/>
    <w:basedOn w:val="Bekezdsalapbettpusa"/>
    <w:uiPriority w:val="99"/>
    <w:semiHidden/>
    <w:rsid w:val="003C3464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C3464"/>
    <w:pPr>
      <w:ind w:left="720"/>
    </w:pPr>
  </w:style>
  <w:style w:type="character" w:customStyle="1" w:styleId="apple-converted-space">
    <w:name w:val="apple-converted-space"/>
    <w:basedOn w:val="Bekezdsalapbettpusa"/>
    <w:rsid w:val="00B9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A12F-B111-4935-89AE-B010A9D9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5067</Characters>
  <Application>Microsoft Office Word</Application>
  <DocSecurity>0</DocSecurity>
  <Lines>42</Lines>
  <Paragraphs>11</Paragraphs>
  <ScaleCrop>false</ScaleCrop>
  <Company>TFG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Csaba</dc:creator>
  <cp:lastModifiedBy>user</cp:lastModifiedBy>
  <cp:revision>2</cp:revision>
  <cp:lastPrinted>2014-12-09T12:49:00Z</cp:lastPrinted>
  <dcterms:created xsi:type="dcterms:W3CDTF">2015-06-30T09:27:00Z</dcterms:created>
  <dcterms:modified xsi:type="dcterms:W3CDTF">2015-06-30T09:27:00Z</dcterms:modified>
</cp:coreProperties>
</file>