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8" w:rsidRDefault="00132D78" w:rsidP="00132D78">
      <w:pPr>
        <w:rPr>
          <w:sz w:val="44"/>
          <w:szCs w:val="44"/>
        </w:rPr>
      </w:pPr>
    </w:p>
    <w:p w:rsidR="00132D78" w:rsidRDefault="00132D78" w:rsidP="00132D78">
      <w:pPr>
        <w:jc w:val="center"/>
        <w:rPr>
          <w:sz w:val="44"/>
          <w:szCs w:val="44"/>
        </w:rPr>
      </w:pPr>
      <w:r>
        <w:rPr>
          <w:sz w:val="44"/>
          <w:szCs w:val="44"/>
        </w:rPr>
        <w:t>Képzési terv</w:t>
      </w:r>
    </w:p>
    <w:p w:rsidR="00132D78" w:rsidRDefault="00132D78" w:rsidP="00132D78">
      <w:pPr>
        <w:rPr>
          <w:sz w:val="44"/>
          <w:szCs w:val="44"/>
        </w:rPr>
      </w:pPr>
    </w:p>
    <w:p w:rsidR="00132D78" w:rsidRDefault="00132D78" w:rsidP="00132D78">
      <w:pPr>
        <w:jc w:val="center"/>
        <w:rPr>
          <w:sz w:val="44"/>
          <w:szCs w:val="44"/>
        </w:rPr>
      </w:pPr>
    </w:p>
    <w:p w:rsidR="00132D78" w:rsidRPr="00757291" w:rsidRDefault="00132D78" w:rsidP="00132D78">
      <w:pPr>
        <w:jc w:val="center"/>
        <w:rPr>
          <w:b/>
          <w:sz w:val="44"/>
          <w:szCs w:val="44"/>
        </w:rPr>
      </w:pP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</w:t>
      </w:r>
      <w:r w:rsidRPr="00757291">
        <w:rPr>
          <w:b/>
          <w:sz w:val="44"/>
          <w:szCs w:val="44"/>
        </w:rPr>
        <w:t>Felkészülés a k</w:t>
      </w:r>
      <w:r>
        <w:rPr>
          <w:b/>
          <w:sz w:val="44"/>
          <w:szCs w:val="44"/>
        </w:rPr>
        <w:t>ompetencia alapú érettségi vizs</w:t>
      </w:r>
      <w:r w:rsidRPr="00757291">
        <w:rPr>
          <w:b/>
          <w:sz w:val="44"/>
          <w:szCs w:val="44"/>
        </w:rPr>
        <w:t>gára</w:t>
      </w:r>
    </w:p>
    <w:p w:rsidR="00132D78" w:rsidRDefault="00132D78" w:rsidP="00132D78">
      <w:pPr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jó</w:t>
      </w:r>
      <w:proofErr w:type="gramEnd"/>
      <w:r>
        <w:rPr>
          <w:sz w:val="44"/>
          <w:szCs w:val="44"/>
        </w:rPr>
        <w:t xml:space="preserve"> gyakorlat jellegű tevékenység adaptációjához</w:t>
      </w:r>
    </w:p>
    <w:p w:rsidR="00132D78" w:rsidRDefault="00132D78" w:rsidP="00132D78">
      <w:pPr>
        <w:jc w:val="center"/>
        <w:rPr>
          <w:sz w:val="40"/>
          <w:szCs w:val="40"/>
        </w:rPr>
      </w:pPr>
    </w:p>
    <w:p w:rsidR="00132D78" w:rsidRDefault="00132D78" w:rsidP="00132D78">
      <w:pPr>
        <w:jc w:val="center"/>
        <w:rPr>
          <w:sz w:val="40"/>
          <w:szCs w:val="40"/>
        </w:rPr>
      </w:pPr>
    </w:p>
    <w:p w:rsidR="00132D78" w:rsidRDefault="00132D78" w:rsidP="00132D78">
      <w:pPr>
        <w:rPr>
          <w:sz w:val="40"/>
          <w:szCs w:val="40"/>
        </w:rPr>
      </w:pPr>
    </w:p>
    <w:p w:rsidR="00132D78" w:rsidRDefault="00132D78" w:rsidP="00132D78">
      <w:pPr>
        <w:rPr>
          <w:sz w:val="40"/>
          <w:szCs w:val="40"/>
        </w:rPr>
      </w:pPr>
    </w:p>
    <w:p w:rsidR="00132D78" w:rsidRDefault="00132D78" w:rsidP="00132D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Készítette: </w:t>
      </w:r>
      <w:proofErr w:type="spellStart"/>
      <w:r>
        <w:rPr>
          <w:sz w:val="32"/>
          <w:szCs w:val="32"/>
        </w:rPr>
        <w:t>Gintner</w:t>
      </w:r>
      <w:proofErr w:type="spellEnd"/>
      <w:r>
        <w:rPr>
          <w:sz w:val="32"/>
          <w:szCs w:val="32"/>
        </w:rPr>
        <w:t xml:space="preserve"> Tamásné Hornyák Ágnes</w:t>
      </w:r>
    </w:p>
    <w:p w:rsidR="00132D78" w:rsidRDefault="00132D78" w:rsidP="00132D78">
      <w:pPr>
        <w:rPr>
          <w:sz w:val="32"/>
          <w:szCs w:val="32"/>
        </w:rPr>
      </w:pPr>
    </w:p>
    <w:p w:rsidR="00132D78" w:rsidRDefault="00132D78" w:rsidP="00132D78">
      <w:pPr>
        <w:rPr>
          <w:sz w:val="32"/>
          <w:szCs w:val="32"/>
        </w:rPr>
      </w:pPr>
    </w:p>
    <w:p w:rsidR="00132D78" w:rsidRDefault="00132D78" w:rsidP="00132D78">
      <w:pPr>
        <w:spacing w:line="360" w:lineRule="auto"/>
        <w:jc w:val="both"/>
        <w:rPr>
          <w:sz w:val="32"/>
          <w:szCs w:val="32"/>
        </w:rPr>
      </w:pPr>
    </w:p>
    <w:p w:rsidR="00132D78" w:rsidRDefault="00132D78" w:rsidP="00132D78">
      <w:pPr>
        <w:spacing w:line="360" w:lineRule="auto"/>
        <w:jc w:val="both"/>
        <w:rPr>
          <w:sz w:val="32"/>
          <w:szCs w:val="32"/>
        </w:rPr>
      </w:pPr>
    </w:p>
    <w:p w:rsidR="00132D78" w:rsidRPr="00B3307D" w:rsidRDefault="00132D78" w:rsidP="00132D78">
      <w:pPr>
        <w:spacing w:line="360" w:lineRule="auto"/>
        <w:jc w:val="both"/>
      </w:pPr>
      <w:r>
        <w:rPr>
          <w:b/>
        </w:rPr>
        <w:lastRenderedPageBreak/>
        <w:t>A képzés ideje:</w:t>
      </w:r>
      <w:r>
        <w:t xml:space="preserve"> 2015. június 23. 8:00 – 16:00</w:t>
      </w:r>
    </w:p>
    <w:p w:rsidR="00132D78" w:rsidRDefault="00132D78" w:rsidP="00132D78">
      <w:pPr>
        <w:spacing w:line="360" w:lineRule="auto"/>
        <w:jc w:val="both"/>
      </w:pPr>
      <w:r>
        <w:rPr>
          <w:b/>
        </w:rPr>
        <w:t xml:space="preserve">A képzés helye: </w:t>
      </w:r>
      <w:r>
        <w:t>Tokaji Ferenc Gimnázium, Szakközépiskola és Kollégium</w:t>
      </w:r>
    </w:p>
    <w:p w:rsidR="00132D78" w:rsidRDefault="00132D78" w:rsidP="00132D78">
      <w:pPr>
        <w:spacing w:line="360" w:lineRule="auto"/>
        <w:jc w:val="both"/>
      </w:pPr>
      <w:r>
        <w:rPr>
          <w:b/>
        </w:rPr>
        <w:t xml:space="preserve">A képzés témái: - </w:t>
      </w:r>
      <w:r>
        <w:t>SDT (Sulinet Digitális Tudásbázis)</w:t>
      </w:r>
    </w:p>
    <w:p w:rsidR="00132D78" w:rsidRDefault="00132D78" w:rsidP="00132D78">
      <w:pPr>
        <w:pStyle w:val="Listaszerbekezds"/>
        <w:numPr>
          <w:ilvl w:val="0"/>
          <w:numId w:val="4"/>
        </w:numPr>
        <w:spacing w:after="0" w:line="360" w:lineRule="auto"/>
        <w:contextualSpacing/>
      </w:pPr>
      <w:r>
        <w:t>Digitális taneszközök használata a humán tantárgyak tanóráin</w:t>
      </w:r>
    </w:p>
    <w:p w:rsidR="00132D78" w:rsidRDefault="00132D78" w:rsidP="00132D78">
      <w:pPr>
        <w:pStyle w:val="Listaszerbekezds"/>
        <w:spacing w:line="360" w:lineRule="auto"/>
        <w:ind w:left="2001"/>
      </w:pPr>
    </w:p>
    <w:p w:rsidR="00132D78" w:rsidRDefault="00132D78" w:rsidP="00132D78">
      <w:pPr>
        <w:spacing w:line="360" w:lineRule="auto"/>
        <w:jc w:val="center"/>
        <w:rPr>
          <w:b/>
        </w:rPr>
      </w:pPr>
    </w:p>
    <w:p w:rsidR="00132D78" w:rsidRDefault="00132D78" w:rsidP="00132D78">
      <w:pPr>
        <w:spacing w:line="360" w:lineRule="auto"/>
        <w:jc w:val="center"/>
        <w:rPr>
          <w:b/>
        </w:rPr>
      </w:pPr>
      <w:r>
        <w:rPr>
          <w:b/>
        </w:rPr>
        <w:t>SDT (Sulinet Digitális Tudásbázis)</w:t>
      </w: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  <w:rPr>
          <w:u w:val="single"/>
        </w:rPr>
      </w:pPr>
      <w:r>
        <w:rPr>
          <w:u w:val="single"/>
        </w:rPr>
        <w:t>A képzés témája:</w:t>
      </w:r>
    </w:p>
    <w:p w:rsidR="00132D78" w:rsidRDefault="00132D78" w:rsidP="00132D78">
      <w:pPr>
        <w:spacing w:line="360" w:lineRule="auto"/>
        <w:jc w:val="both"/>
      </w:pPr>
      <w:r>
        <w:t>A Sulinet Digitális Tudásbázis egy olyan elektronikus tananyag-adatbázis, amely lefedi minden közoktatási évfolyamon a műveltségi területeket. A digitális tartalom átfogja az oktatási intézmények oktatási tartalomra vonatkozó igényeit, az óravázlatokat, módszertani segédleteket. Olyan tananyagokat mutat be a pedagógusok és a tanulók számára, amelyeket felhasználhatnak a mindennapi tanítás-tanulási folyamatban.</w:t>
      </w:r>
    </w:p>
    <w:p w:rsidR="00132D78" w:rsidRDefault="00132D78" w:rsidP="00132D78">
      <w:pPr>
        <w:spacing w:line="360" w:lineRule="auto"/>
        <w:jc w:val="both"/>
      </w:pPr>
      <w:r>
        <w:t xml:space="preserve">A rendszer egy elektronikus tananyag-adatbázis és tartalomkezelő eszköz, amely új lehetőségeket biztosít az interaktív multimédia tartalmak eléréséhez és felhasználásához az iskolai oktatásban. </w:t>
      </w: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  <w:rPr>
          <w:u w:val="single"/>
        </w:rPr>
      </w:pPr>
      <w:r>
        <w:rPr>
          <w:u w:val="single"/>
        </w:rPr>
        <w:t>A képzés célja:</w:t>
      </w:r>
    </w:p>
    <w:p w:rsidR="00132D78" w:rsidRDefault="00132D78" w:rsidP="00132D78">
      <w:pPr>
        <w:spacing w:line="360" w:lineRule="auto"/>
        <w:jc w:val="both"/>
      </w:pPr>
      <w:r>
        <w:t>A kollégák:</w:t>
      </w:r>
    </w:p>
    <w:p w:rsidR="00132D78" w:rsidRDefault="00132D78" w:rsidP="00132D78">
      <w:pPr>
        <w:spacing w:line="360" w:lineRule="auto"/>
        <w:jc w:val="both"/>
      </w:pPr>
      <w:r>
        <w:t>- ismerjék meg az SDT web-es felületét (</w:t>
      </w:r>
      <w:hyperlink r:id="rId8" w:history="1">
        <w:r>
          <w:rPr>
            <w:rStyle w:val="Hiperhivatkozs"/>
          </w:rPr>
          <w:t>http://sdt.sulinet.hu</w:t>
        </w:r>
      </w:hyperlink>
      <w:r>
        <w:t>)</w:t>
      </w:r>
    </w:p>
    <w:p w:rsidR="00132D78" w:rsidRDefault="00132D78" w:rsidP="00132D78">
      <w:pPr>
        <w:spacing w:line="360" w:lineRule="auto"/>
        <w:jc w:val="both"/>
      </w:pPr>
      <w:r>
        <w:t>- tájékozódjanak a tananyag-adatbázisban</w:t>
      </w:r>
    </w:p>
    <w:p w:rsidR="00132D78" w:rsidRDefault="00132D78" w:rsidP="00132D78">
      <w:pPr>
        <w:spacing w:line="360" w:lineRule="auto"/>
        <w:jc w:val="both"/>
      </w:pPr>
      <w:r>
        <w:t>- képessé váljanak a tartalmak megjelenítésére, lejátszására, módosítására</w:t>
      </w: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center"/>
        <w:rPr>
          <w:b/>
        </w:rPr>
      </w:pPr>
      <w:r>
        <w:rPr>
          <w:b/>
        </w:rPr>
        <w:lastRenderedPageBreak/>
        <w:t>IKT</w:t>
      </w:r>
    </w:p>
    <w:p w:rsidR="00132D78" w:rsidRDefault="00132D78" w:rsidP="00132D78">
      <w:pPr>
        <w:spacing w:line="360" w:lineRule="auto"/>
        <w:jc w:val="center"/>
        <w:rPr>
          <w:b/>
        </w:rPr>
      </w:pPr>
      <w:r>
        <w:rPr>
          <w:b/>
        </w:rPr>
        <w:t>Digitális taneszközök használata a humán tantárgyak tanóráin</w:t>
      </w:r>
    </w:p>
    <w:p w:rsidR="00132D78" w:rsidRDefault="00132D78" w:rsidP="00132D78">
      <w:pPr>
        <w:spacing w:line="360" w:lineRule="auto"/>
        <w:jc w:val="both"/>
        <w:rPr>
          <w:u w:val="single"/>
        </w:rPr>
      </w:pP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  <w:rPr>
          <w:u w:val="single"/>
        </w:rPr>
      </w:pPr>
      <w:r>
        <w:rPr>
          <w:u w:val="single"/>
        </w:rPr>
        <w:t>A képzés célja:</w:t>
      </w:r>
    </w:p>
    <w:p w:rsidR="00132D78" w:rsidRDefault="00132D78" w:rsidP="00132D78">
      <w:pPr>
        <w:spacing w:line="360" w:lineRule="auto"/>
        <w:jc w:val="both"/>
      </w:pPr>
      <w:r>
        <w:t xml:space="preserve">A résztvevők ismerjék meg azokat az oktatási célokat, amelyek elérésében jól használhatók a számítógéppel együtt tanulás módszerei. Váljanak képessé önállóan felkutatni az interneten fellelhető, a tantárgyak során felhasználható digitális tartalmakat és taneszközöket. Képessé váljanak új tananyagok készítésére és a digitális oktatásban való alkalmazásra. </w:t>
      </w: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</w:pPr>
      <w:r>
        <w:t>A képzés végén a résztvevők feleljenek meg az alábbi követelményeknek:</w:t>
      </w:r>
    </w:p>
    <w:p w:rsidR="00132D78" w:rsidRDefault="00132D78" w:rsidP="00132D78">
      <w:pPr>
        <w:spacing w:line="360" w:lineRule="auto"/>
        <w:jc w:val="both"/>
      </w:pPr>
      <w:r>
        <w:t>- digitális óravázlatok és feladatlapok készítése</w:t>
      </w:r>
    </w:p>
    <w:p w:rsidR="00132D78" w:rsidRDefault="00132D78" w:rsidP="00132D78">
      <w:pPr>
        <w:spacing w:line="360" w:lineRule="auto"/>
        <w:jc w:val="both"/>
      </w:pPr>
      <w:r>
        <w:t>- elektronikus prezentációk használata, összeállítása</w:t>
      </w:r>
    </w:p>
    <w:p w:rsidR="00132D78" w:rsidRDefault="00132D78" w:rsidP="00132D78">
      <w:pPr>
        <w:spacing w:line="360" w:lineRule="auto"/>
        <w:jc w:val="both"/>
      </w:pPr>
      <w:r>
        <w:t>- kooperatív munkaformák digitális alkalmazása</w:t>
      </w:r>
    </w:p>
    <w:p w:rsidR="00132D78" w:rsidRDefault="00132D78" w:rsidP="00132D78">
      <w:pPr>
        <w:spacing w:line="360" w:lineRule="auto"/>
        <w:jc w:val="both"/>
      </w:pPr>
      <w:r>
        <w:t>- az SDT használata</w:t>
      </w:r>
    </w:p>
    <w:p w:rsidR="00132D78" w:rsidRDefault="00132D78" w:rsidP="00132D78">
      <w:pPr>
        <w:spacing w:line="360" w:lineRule="auto"/>
        <w:jc w:val="both"/>
      </w:pPr>
      <w:r>
        <w:t xml:space="preserve">- tananyagok átszerkesztése, újak készítése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Point-ban</w:t>
      </w:r>
      <w:proofErr w:type="spellEnd"/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rPr>
          <w:b/>
        </w:rPr>
      </w:pPr>
    </w:p>
    <w:p w:rsidR="00132D78" w:rsidRDefault="00132D78" w:rsidP="00132D78">
      <w:pPr>
        <w:spacing w:line="360" w:lineRule="auto"/>
        <w:jc w:val="center"/>
        <w:rPr>
          <w:b/>
        </w:rPr>
      </w:pPr>
      <w:r>
        <w:rPr>
          <w:b/>
        </w:rPr>
        <w:lastRenderedPageBreak/>
        <w:t>Módszertan</w:t>
      </w:r>
    </w:p>
    <w:p w:rsidR="00132D78" w:rsidRDefault="00132D78" w:rsidP="00132D78">
      <w:pPr>
        <w:spacing w:line="360" w:lineRule="auto"/>
        <w:jc w:val="both"/>
      </w:pPr>
    </w:p>
    <w:p w:rsidR="00132D78" w:rsidRDefault="00132D78" w:rsidP="00132D78">
      <w:pPr>
        <w:spacing w:line="360" w:lineRule="auto"/>
        <w:jc w:val="both"/>
        <w:rPr>
          <w:u w:val="single"/>
        </w:rPr>
      </w:pPr>
    </w:p>
    <w:p w:rsidR="00132D78" w:rsidRDefault="00132D78" w:rsidP="00132D78">
      <w:pPr>
        <w:spacing w:line="360" w:lineRule="auto"/>
        <w:jc w:val="both"/>
        <w:rPr>
          <w:u w:val="single"/>
        </w:rPr>
      </w:pPr>
      <w:r>
        <w:rPr>
          <w:u w:val="single"/>
        </w:rPr>
        <w:t>A képzés célja:</w:t>
      </w:r>
    </w:p>
    <w:p w:rsidR="00132D78" w:rsidRDefault="00132D78" w:rsidP="00132D78">
      <w:pPr>
        <w:spacing w:line="360" w:lineRule="auto"/>
        <w:jc w:val="both"/>
      </w:pPr>
      <w:r>
        <w:t>A kollégák ismerkedjenek meg a korszerű, hatékony oktatási módszerekkel, a kooperatív tanulási technikákkal:</w:t>
      </w:r>
    </w:p>
    <w:p w:rsidR="00132D78" w:rsidRDefault="00132D78" w:rsidP="00132D78">
      <w:pPr>
        <w:spacing w:line="360" w:lineRule="auto"/>
        <w:jc w:val="both"/>
      </w:pPr>
      <w:r>
        <w:t>- fürtábra (jelentésháló)</w:t>
      </w:r>
    </w:p>
    <w:p w:rsidR="00132D78" w:rsidRDefault="00132D78" w:rsidP="00132D78">
      <w:pPr>
        <w:spacing w:line="360" w:lineRule="auto"/>
        <w:jc w:val="both"/>
      </w:pPr>
      <w:r>
        <w:t>- pókhálóábra</w:t>
      </w:r>
    </w:p>
    <w:p w:rsidR="00132D78" w:rsidRDefault="00132D78" w:rsidP="00132D78">
      <w:pPr>
        <w:spacing w:line="360" w:lineRule="auto"/>
        <w:jc w:val="both"/>
      </w:pPr>
      <w:r>
        <w:t>- három megy, egy marad</w:t>
      </w:r>
    </w:p>
    <w:p w:rsidR="00132D78" w:rsidRDefault="00132D78" w:rsidP="00132D78">
      <w:pPr>
        <w:spacing w:line="360" w:lineRule="auto"/>
        <w:jc w:val="both"/>
      </w:pPr>
      <w:r>
        <w:t>- írás saját magunk számára</w:t>
      </w:r>
    </w:p>
    <w:p w:rsidR="00132D78" w:rsidRDefault="00132D78" w:rsidP="00132D78">
      <w:pPr>
        <w:spacing w:line="360" w:lineRule="auto"/>
        <w:jc w:val="both"/>
      </w:pPr>
      <w:r>
        <w:t>- jellemtérkép</w:t>
      </w:r>
    </w:p>
    <w:p w:rsidR="00132D78" w:rsidRDefault="00132D78" w:rsidP="00132D78">
      <w:pPr>
        <w:spacing w:line="360" w:lineRule="auto"/>
        <w:jc w:val="both"/>
      </w:pPr>
      <w:r>
        <w:t>- kerekasztal-körforgó</w:t>
      </w:r>
    </w:p>
    <w:p w:rsidR="00132D78" w:rsidRDefault="00132D78" w:rsidP="00132D78">
      <w:pPr>
        <w:spacing w:line="360" w:lineRule="auto"/>
        <w:jc w:val="both"/>
      </w:pPr>
      <w:r>
        <w:t>- kettéosztott napló</w:t>
      </w:r>
    </w:p>
    <w:p w:rsidR="00132D78" w:rsidRDefault="00132D78" w:rsidP="00132D78">
      <w:pPr>
        <w:spacing w:line="360" w:lineRule="auto"/>
        <w:jc w:val="both"/>
      </w:pPr>
      <w:r>
        <w:t>- kilépőkártya</w:t>
      </w:r>
    </w:p>
    <w:p w:rsidR="00132D78" w:rsidRDefault="00132D78" w:rsidP="00132D78">
      <w:pPr>
        <w:spacing w:line="360" w:lineRule="auto"/>
        <w:jc w:val="both"/>
      </w:pPr>
      <w:r>
        <w:t>- mozaik</w:t>
      </w:r>
    </w:p>
    <w:p w:rsidR="00132D78" w:rsidRDefault="00132D78" w:rsidP="00132D78">
      <w:pPr>
        <w:spacing w:line="360" w:lineRule="auto"/>
        <w:jc w:val="both"/>
      </w:pPr>
      <w:r>
        <w:t>- ötletbörze</w:t>
      </w:r>
    </w:p>
    <w:p w:rsidR="00132D78" w:rsidRDefault="00132D78" w:rsidP="00132D78">
      <w:pPr>
        <w:spacing w:line="360" w:lineRule="auto"/>
        <w:jc w:val="both"/>
      </w:pPr>
      <w:r>
        <w:t>- rövid esszé</w:t>
      </w:r>
    </w:p>
    <w:p w:rsidR="00132D78" w:rsidRDefault="00132D78" w:rsidP="00132D78">
      <w:pPr>
        <w:spacing w:line="360" w:lineRule="auto"/>
        <w:jc w:val="both"/>
      </w:pPr>
      <w:r>
        <w:t>- sarkok</w:t>
      </w:r>
    </w:p>
    <w:p w:rsidR="00132D78" w:rsidRDefault="00132D78" w:rsidP="00132D78">
      <w:pPr>
        <w:spacing w:line="360" w:lineRule="auto"/>
        <w:jc w:val="both"/>
      </w:pPr>
      <w:r>
        <w:t xml:space="preserve"> - T-táblázat</w:t>
      </w:r>
    </w:p>
    <w:p w:rsidR="00132D78" w:rsidRDefault="00132D78" w:rsidP="00132D78">
      <w:pPr>
        <w:spacing w:line="360" w:lineRule="auto"/>
        <w:jc w:val="both"/>
      </w:pPr>
      <w:r>
        <w:t>- KWL</w:t>
      </w:r>
    </w:p>
    <w:p w:rsidR="00132D78" w:rsidRDefault="00132D78" w:rsidP="00132D78">
      <w:pPr>
        <w:spacing w:line="360" w:lineRule="auto"/>
        <w:jc w:val="both"/>
      </w:pPr>
      <w:r>
        <w:t>- vándorló csoportok</w:t>
      </w:r>
    </w:p>
    <w:p w:rsidR="00132D78" w:rsidRDefault="00132D78" w:rsidP="00132D78">
      <w:pPr>
        <w:spacing w:line="360" w:lineRule="auto"/>
        <w:jc w:val="both"/>
      </w:pPr>
      <w:r>
        <w:t>- állóképek</w:t>
      </w:r>
    </w:p>
    <w:p w:rsidR="00132D78" w:rsidRDefault="00132D78" w:rsidP="00132D78">
      <w:pPr>
        <w:spacing w:line="360" w:lineRule="auto"/>
        <w:jc w:val="both"/>
      </w:pPr>
      <w:r>
        <w:lastRenderedPageBreak/>
        <w:t>- eszmecsere</w:t>
      </w:r>
    </w:p>
    <w:p w:rsidR="00132D78" w:rsidRDefault="00132D78" w:rsidP="00132D78">
      <w:pPr>
        <w:spacing w:line="360" w:lineRule="auto"/>
        <w:jc w:val="both"/>
      </w:pPr>
      <w:r>
        <w:t>- idézetkártya</w:t>
      </w:r>
    </w:p>
    <w:p w:rsidR="00132D78" w:rsidRDefault="00132D78" w:rsidP="00132D78">
      <w:pPr>
        <w:spacing w:line="360" w:lineRule="auto"/>
        <w:jc w:val="both"/>
      </w:pPr>
      <w:r>
        <w:t>- jegyzőkönyv</w:t>
      </w:r>
    </w:p>
    <w:p w:rsidR="00132D78" w:rsidRDefault="00132D78" w:rsidP="00132D78">
      <w:pPr>
        <w:spacing w:line="360" w:lineRule="auto"/>
        <w:jc w:val="both"/>
      </w:pPr>
      <w:r>
        <w:t>- közzététel</w:t>
      </w:r>
    </w:p>
    <w:p w:rsidR="00132D78" w:rsidRDefault="00132D78" w:rsidP="00132D78">
      <w:pPr>
        <w:spacing w:line="360" w:lineRule="auto"/>
        <w:jc w:val="both"/>
      </w:pPr>
      <w:r>
        <w:t>- listakészítés</w:t>
      </w:r>
    </w:p>
    <w:p w:rsidR="00132D78" w:rsidRDefault="00132D78" w:rsidP="00132D78">
      <w:pPr>
        <w:spacing w:line="360" w:lineRule="auto"/>
        <w:jc w:val="both"/>
      </w:pPr>
      <w:r>
        <w:t>A résztvevők tudják értelmezni és alkalmazni az R-J-R modellt a tanítási órán és az érettségi vizsgán egyaránt.</w:t>
      </w:r>
    </w:p>
    <w:p w:rsidR="005A39A1" w:rsidRPr="000F2C32" w:rsidRDefault="005A39A1" w:rsidP="000F2C32"/>
    <w:sectPr w:rsidR="005A39A1" w:rsidRPr="000F2C32" w:rsidSect="00C82E7C">
      <w:headerReference w:type="default" r:id="rId9"/>
      <w:footerReference w:type="default" r:id="rId10"/>
      <w:pgSz w:w="11906" w:h="16838" w:code="9"/>
      <w:pgMar w:top="2801" w:right="1134" w:bottom="1134" w:left="1134" w:header="992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0" w:rsidRDefault="00754880" w:rsidP="00AB4900">
      <w:pPr>
        <w:spacing w:after="0" w:line="240" w:lineRule="auto"/>
      </w:pPr>
      <w:r>
        <w:separator/>
      </w:r>
    </w:p>
  </w:endnote>
  <w:end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Default="00C06165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83820</wp:posOffset>
          </wp:positionV>
          <wp:extent cx="678815" cy="800100"/>
          <wp:effectExtent l="19050" t="0" r="698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>
      <w:rPr>
        <w:b/>
        <w:bCs/>
        <w:caps/>
        <w:color w:val="003399"/>
        <w:sz w:val="16"/>
        <w:szCs w:val="16"/>
      </w:rPr>
      <w:t>Tokaji Ferenc Gimnázium,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 xml:space="preserve">Szakközépiskola </w:t>
    </w:r>
    <w:proofErr w:type="gramStart"/>
    <w:r w:rsidRPr="003527E3">
      <w:rPr>
        <w:b/>
        <w:bCs/>
        <w:caps/>
        <w:color w:val="003399"/>
        <w:sz w:val="16"/>
        <w:szCs w:val="16"/>
      </w:rPr>
      <w:t>és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Kollégium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3910, Tokaj, Bajcsy-Zs. E. u. 18-20.</w:t>
    </w:r>
  </w:p>
  <w:p w:rsidR="005A39A1" w:rsidRPr="003527E3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3527E3">
      <w:rPr>
        <w:b/>
        <w:bCs/>
        <w:caps/>
        <w:color w:val="003399"/>
        <w:sz w:val="16"/>
        <w:szCs w:val="16"/>
      </w:rPr>
      <w:t>Tel</w:t>
    </w:r>
    <w:proofErr w:type="gramStart"/>
    <w:r w:rsidRPr="003527E3">
      <w:rPr>
        <w:b/>
        <w:bCs/>
        <w:caps/>
        <w:color w:val="003399"/>
        <w:sz w:val="16"/>
        <w:szCs w:val="16"/>
      </w:rPr>
      <w:t>.:</w:t>
    </w:r>
    <w:proofErr w:type="gramEnd"/>
    <w:r w:rsidRPr="003527E3">
      <w:rPr>
        <w:b/>
        <w:bCs/>
        <w:caps/>
        <w:color w:val="003399"/>
        <w:sz w:val="16"/>
        <w:szCs w:val="16"/>
      </w:rPr>
      <w:t xml:space="preserve"> +36 47 352-026, +36 47 </w:t>
    </w:r>
  </w:p>
  <w:p w:rsidR="005A39A1" w:rsidRPr="00C82E7C" w:rsidRDefault="005A39A1" w:rsidP="00C82E7C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  <w:r w:rsidRPr="00C82E7C">
      <w:rPr>
        <w:b/>
        <w:bCs/>
        <w:caps/>
        <w:color w:val="003399"/>
        <w:sz w:val="16"/>
        <w:szCs w:val="16"/>
      </w:rPr>
      <w:t>e-mail: tfg@tfg.hu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0" w:rsidRDefault="00754880" w:rsidP="00AB4900">
      <w:pPr>
        <w:spacing w:after="0" w:line="240" w:lineRule="auto"/>
      </w:pPr>
      <w:r>
        <w:separator/>
      </w:r>
    </w:p>
  </w:footnote>
  <w:footnote w:type="continuationSeparator" w:id="0">
    <w:p w:rsidR="00754880" w:rsidRDefault="0075488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A1" w:rsidRPr="00C82E7C" w:rsidRDefault="00C06165" w:rsidP="00C14B7A">
    <w:pPr>
      <w:pStyle w:val="lfej"/>
      <w:ind w:right="4251"/>
      <w:rPr>
        <w:color w:val="000080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4311015</wp:posOffset>
          </wp:positionH>
          <wp:positionV relativeFrom="page">
            <wp:posOffset>9525</wp:posOffset>
          </wp:positionV>
          <wp:extent cx="3239770" cy="2239010"/>
          <wp:effectExtent l="0" t="0" r="0" b="0"/>
          <wp:wrapNone/>
          <wp:docPr id="1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A1" w:rsidRPr="00C82E7C">
      <w:rPr>
        <w:b/>
        <w:bCs/>
        <w:color w:val="000080"/>
      </w:rPr>
      <w:t>TÁMOP-3.1.4-12/2-2012-0236</w:t>
    </w:r>
    <w:r w:rsidR="005A39A1" w:rsidRPr="00C82E7C">
      <w:rPr>
        <w:color w:val="000080"/>
      </w:rPr>
      <w:tab/>
    </w:r>
    <w:r w:rsidR="005A39A1" w:rsidRPr="00C82E7C">
      <w:rPr>
        <w:color w:val="000080"/>
      </w:rPr>
      <w:tab/>
    </w:r>
  </w:p>
  <w:p w:rsidR="005A39A1" w:rsidRPr="00C82E7C" w:rsidRDefault="005A39A1" w:rsidP="00C14B7A">
    <w:pPr>
      <w:pStyle w:val="lfej"/>
      <w:ind w:right="4251"/>
      <w:rPr>
        <w:color w:val="000080"/>
      </w:rPr>
    </w:pPr>
    <w:r w:rsidRPr="00C82E7C">
      <w:rPr>
        <w:color w:val="000080"/>
      </w:rPr>
      <w:t>“Innovatív iskolafejlesztés a Tokaji Ferenc Gimnázium, Szakközépiskola és Kollégiumában”</w:t>
    </w:r>
  </w:p>
  <w:p w:rsidR="005A39A1" w:rsidRPr="00C82E7C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B50ED9">
    <w:pPr>
      <w:pStyle w:val="lfej"/>
      <w:ind w:left="1701"/>
    </w:pPr>
  </w:p>
  <w:p w:rsidR="005A39A1" w:rsidRDefault="005A39A1" w:rsidP="00C82E7C">
    <w:pPr>
      <w:pStyle w:val="lfej"/>
    </w:pPr>
  </w:p>
  <w:p w:rsidR="005A39A1" w:rsidRDefault="005A39A1" w:rsidP="00C82E7C">
    <w:pPr>
      <w:pStyle w:val="lfej"/>
    </w:pPr>
  </w:p>
  <w:p w:rsidR="005A39A1" w:rsidRPr="00AB4900" w:rsidRDefault="005A39A1" w:rsidP="00C82E7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0BD"/>
    <w:multiLevelType w:val="hybridMultilevel"/>
    <w:tmpl w:val="784676D0"/>
    <w:lvl w:ilvl="0" w:tplc="0A8AC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366F31"/>
    <w:multiLevelType w:val="hybridMultilevel"/>
    <w:tmpl w:val="7D62A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1005C"/>
    <w:multiLevelType w:val="hybridMultilevel"/>
    <w:tmpl w:val="753CEE9E"/>
    <w:lvl w:ilvl="0" w:tplc="1D163B04">
      <w:numFmt w:val="bullet"/>
      <w:lvlText w:val="-"/>
      <w:lvlJc w:val="left"/>
      <w:pPr>
        <w:ind w:left="2001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36183"/>
    <w:multiLevelType w:val="hybridMultilevel"/>
    <w:tmpl w:val="583C6E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22E7"/>
    <w:rsid w:val="00045F17"/>
    <w:rsid w:val="00081A6B"/>
    <w:rsid w:val="000B2CD5"/>
    <w:rsid w:val="000F2C32"/>
    <w:rsid w:val="000F4E96"/>
    <w:rsid w:val="00111913"/>
    <w:rsid w:val="00131BD8"/>
    <w:rsid w:val="00132D78"/>
    <w:rsid w:val="00146ACE"/>
    <w:rsid w:val="001E6A2A"/>
    <w:rsid w:val="002112C7"/>
    <w:rsid w:val="0021557B"/>
    <w:rsid w:val="00232166"/>
    <w:rsid w:val="002441AB"/>
    <w:rsid w:val="00244F73"/>
    <w:rsid w:val="002456AB"/>
    <w:rsid w:val="002A6DE9"/>
    <w:rsid w:val="002D426F"/>
    <w:rsid w:val="002E64F7"/>
    <w:rsid w:val="002F678C"/>
    <w:rsid w:val="00316890"/>
    <w:rsid w:val="00337443"/>
    <w:rsid w:val="00344C67"/>
    <w:rsid w:val="003527E3"/>
    <w:rsid w:val="00353E8C"/>
    <w:rsid w:val="00392B1A"/>
    <w:rsid w:val="003955A3"/>
    <w:rsid w:val="003C3464"/>
    <w:rsid w:val="003D5F77"/>
    <w:rsid w:val="00407FFE"/>
    <w:rsid w:val="004370CA"/>
    <w:rsid w:val="004C625A"/>
    <w:rsid w:val="004F1191"/>
    <w:rsid w:val="00522599"/>
    <w:rsid w:val="00580705"/>
    <w:rsid w:val="005901CF"/>
    <w:rsid w:val="005A39A1"/>
    <w:rsid w:val="005D030D"/>
    <w:rsid w:val="005D15D1"/>
    <w:rsid w:val="005E2EDE"/>
    <w:rsid w:val="006610E7"/>
    <w:rsid w:val="006734FC"/>
    <w:rsid w:val="0069136C"/>
    <w:rsid w:val="006A1E4D"/>
    <w:rsid w:val="006B0482"/>
    <w:rsid w:val="006C0217"/>
    <w:rsid w:val="006C7DCA"/>
    <w:rsid w:val="006D0ADF"/>
    <w:rsid w:val="00754880"/>
    <w:rsid w:val="0076698F"/>
    <w:rsid w:val="0078269C"/>
    <w:rsid w:val="007A0001"/>
    <w:rsid w:val="007A6928"/>
    <w:rsid w:val="00802813"/>
    <w:rsid w:val="00816521"/>
    <w:rsid w:val="00876ECC"/>
    <w:rsid w:val="008B5441"/>
    <w:rsid w:val="008C013B"/>
    <w:rsid w:val="009039F9"/>
    <w:rsid w:val="00922FBD"/>
    <w:rsid w:val="009B38F5"/>
    <w:rsid w:val="009C486D"/>
    <w:rsid w:val="009D2C62"/>
    <w:rsid w:val="009E5E87"/>
    <w:rsid w:val="00A06EA7"/>
    <w:rsid w:val="00A07689"/>
    <w:rsid w:val="00A422D2"/>
    <w:rsid w:val="00A46013"/>
    <w:rsid w:val="00A54B1C"/>
    <w:rsid w:val="00A63A25"/>
    <w:rsid w:val="00AB4900"/>
    <w:rsid w:val="00AC5B21"/>
    <w:rsid w:val="00AE2160"/>
    <w:rsid w:val="00B0435E"/>
    <w:rsid w:val="00B44BFA"/>
    <w:rsid w:val="00B4605F"/>
    <w:rsid w:val="00B50ED9"/>
    <w:rsid w:val="00BC63BE"/>
    <w:rsid w:val="00C06165"/>
    <w:rsid w:val="00C14B7A"/>
    <w:rsid w:val="00C573C0"/>
    <w:rsid w:val="00C74CCE"/>
    <w:rsid w:val="00C82E7C"/>
    <w:rsid w:val="00C873CF"/>
    <w:rsid w:val="00C87FFB"/>
    <w:rsid w:val="00C9125A"/>
    <w:rsid w:val="00C9496E"/>
    <w:rsid w:val="00CB133A"/>
    <w:rsid w:val="00CC0E55"/>
    <w:rsid w:val="00CC27D4"/>
    <w:rsid w:val="00CE50AD"/>
    <w:rsid w:val="00CF1CDA"/>
    <w:rsid w:val="00D15E97"/>
    <w:rsid w:val="00D32023"/>
    <w:rsid w:val="00D42BAB"/>
    <w:rsid w:val="00D50544"/>
    <w:rsid w:val="00D56605"/>
    <w:rsid w:val="00D609B1"/>
    <w:rsid w:val="00D83D60"/>
    <w:rsid w:val="00DC0ECD"/>
    <w:rsid w:val="00DE0E15"/>
    <w:rsid w:val="00DE5336"/>
    <w:rsid w:val="00E61A0D"/>
    <w:rsid w:val="00E730C6"/>
    <w:rsid w:val="00E75AFC"/>
    <w:rsid w:val="00E81ACD"/>
    <w:rsid w:val="00E824DA"/>
    <w:rsid w:val="00EA2F16"/>
    <w:rsid w:val="00F02C48"/>
    <w:rsid w:val="00F22288"/>
    <w:rsid w:val="00F24251"/>
    <w:rsid w:val="00F319BF"/>
    <w:rsid w:val="00F7138D"/>
    <w:rsid w:val="00FA0C90"/>
    <w:rsid w:val="00FD397A"/>
    <w:rsid w:val="00FE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0482"/>
    <w:pPr>
      <w:spacing w:after="200" w:line="276" w:lineRule="auto"/>
    </w:pPr>
    <w:rPr>
      <w:rFonts w:cs="Arial"/>
      <w:color w:val="404040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bCs/>
      <w:caps/>
      <w:noProof/>
      <w:color w:val="244BAE"/>
      <w:sz w:val="28"/>
      <w:szCs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bCs/>
      <w:caps/>
      <w:noProof/>
      <w:color w:val="244BAE"/>
      <w:lang w:val="en-US"/>
    </w:rPr>
  </w:style>
  <w:style w:type="table" w:styleId="Rcsostblzat">
    <w:name w:val="Table Grid"/>
    <w:basedOn w:val="Normltblzat"/>
    <w:uiPriority w:val="99"/>
    <w:rsid w:val="003C3464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orszma">
    <w:name w:val="line number"/>
    <w:basedOn w:val="Bekezdsalapbettpusa"/>
    <w:uiPriority w:val="99"/>
    <w:semiHidden/>
    <w:rsid w:val="003C3464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3C3464"/>
    <w:pPr>
      <w:ind w:left="720"/>
    </w:pPr>
  </w:style>
  <w:style w:type="character" w:styleId="Hiperhivatkozs">
    <w:name w:val="Hyperlink"/>
    <w:basedOn w:val="Bekezdsalapbettpusa"/>
    <w:semiHidden/>
    <w:unhideWhenUsed/>
    <w:rsid w:val="00132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t.sulinet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38602-88D3-498A-9DB0-107EA3BF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330</Words>
  <Characters>2314</Characters>
  <Application>Microsoft Office Word</Application>
  <DocSecurity>0</DocSecurity>
  <Lines>19</Lines>
  <Paragraphs>5</Paragraphs>
  <ScaleCrop>false</ScaleCrop>
  <Company>TFG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JELENLÉTI ÍV</dc:title>
  <dc:creator>Csaba</dc:creator>
  <cp:lastModifiedBy>user</cp:lastModifiedBy>
  <cp:revision>2</cp:revision>
  <cp:lastPrinted>2014-12-09T12:49:00Z</cp:lastPrinted>
  <dcterms:created xsi:type="dcterms:W3CDTF">2015-06-30T09:25:00Z</dcterms:created>
  <dcterms:modified xsi:type="dcterms:W3CDTF">2015-06-30T09:25:00Z</dcterms:modified>
</cp:coreProperties>
</file>